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266DF2DE" w14:textId="77777777" w:rsidR="00BD42F3" w:rsidRDefault="00BD42F3" w:rsidP="00BD42F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BD42F3">
        <w:rPr>
          <w:rFonts w:asciiTheme="majorBidi" w:hAnsiTheme="majorBidi" w:cstheme="majorBidi"/>
          <w:b/>
          <w:bCs/>
          <w:sz w:val="24"/>
          <w:szCs w:val="24"/>
        </w:rPr>
        <w:t>Perspectives on Art and Beyond</w:t>
      </w:r>
    </w:p>
    <w:p w14:paraId="01322169" w14:textId="6B513BBF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6B25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0B297" w14:textId="77777777" w:rsidR="006B2548" w:rsidRDefault="006B2548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4D540347" w14:textId="77777777" w:rsidR="006B2548" w:rsidRDefault="006B2548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7AB44" w14:textId="77777777" w:rsidR="006B2548" w:rsidRDefault="006B2548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433DCA94" w14:textId="77777777" w:rsidR="006B2548" w:rsidRDefault="006B2548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2548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D42F3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1492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2024-10-02T09:25:00Z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